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lang w:val="en-US" w:eastAsia="zh-CN"/>
        </w:rPr>
        <w:t>成都市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</w:rPr>
        <w:t>龙泉驿区“揭榜挂帅”科技项目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700" w:lineRule="exact"/>
        <w:ind w:left="0" w:leftChars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</w:rPr>
        <w:t>实施和管理办法（试行）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lang w:eastAsia="zh-CN"/>
        </w:rPr>
        <w:t>（征求意见稿）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/>
        <w:jc w:val="center"/>
        <w:textAlignment w:val="auto"/>
        <w:rPr>
          <w:rFonts w:hint="eastAsia" w:ascii="方正楷体_GBK" w:hAnsi="方正楷体_GBK" w:eastAsia="方正楷体_GBK" w:cs="方正楷体_GBK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pacing w:val="0"/>
          <w:w w:val="100"/>
          <w:sz w:val="32"/>
          <w:szCs w:val="32"/>
          <w:lang w:val="en-US" w:eastAsia="zh-CN"/>
        </w:rPr>
        <w:t>征求意见稿</w:t>
      </w:r>
      <w:r>
        <w:rPr>
          <w:rFonts w:hint="eastAsia" w:ascii="方正楷体_GBK" w:hAnsi="方正楷体_GBK" w:eastAsia="方正楷体_GBK" w:cs="方正楷体_GBK"/>
          <w:color w:val="auto"/>
          <w:spacing w:val="0"/>
          <w:w w:val="100"/>
          <w:sz w:val="32"/>
          <w:szCs w:val="32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/>
        <w:textAlignment w:val="auto"/>
        <w:rPr>
          <w:rFonts w:ascii="Times New Roman"/>
          <w:color w:val="auto"/>
          <w:spacing w:val="0"/>
          <w:w w:val="1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27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/>
        <w:jc w:val="center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第一章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总则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第一条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制订依据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为贯彻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中央、省市关于科技体制改革精神，落实龙泉驿区第十二次</w:t>
      </w:r>
      <w:r>
        <w:rPr>
          <w:color w:val="auto"/>
          <w:spacing w:val="0"/>
          <w:w w:val="100"/>
          <w:sz w:val="32"/>
          <w:szCs w:val="32"/>
        </w:rPr>
        <w:t>党代会精神，探索科技计划项目组织新模式和关键核心技术攻关新机制，根据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《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四川省科技计划项目揭榜制试点管理暂行办法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》《成都市“揭榜挂帅”科技项目实施和管理办法（试行）》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及</w:t>
      </w:r>
      <w:r>
        <w:rPr>
          <w:color w:val="auto"/>
          <w:spacing w:val="0"/>
          <w:w w:val="100"/>
          <w:sz w:val="32"/>
          <w:szCs w:val="32"/>
        </w:rPr>
        <w:t>《成都市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龙泉驿区新经济和</w:t>
      </w:r>
      <w:r>
        <w:rPr>
          <w:color w:val="auto"/>
          <w:spacing w:val="0"/>
          <w:w w:val="100"/>
          <w:sz w:val="32"/>
          <w:szCs w:val="32"/>
        </w:rPr>
        <w:t>科技计划项目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与资金</w:t>
      </w:r>
      <w:r>
        <w:rPr>
          <w:color w:val="auto"/>
          <w:spacing w:val="0"/>
          <w:w w:val="100"/>
          <w:sz w:val="32"/>
          <w:szCs w:val="32"/>
        </w:rPr>
        <w:t>管理办法》（成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经开新科发</w:t>
      </w:r>
      <w:r>
        <w:rPr>
          <w:color w:val="auto"/>
          <w:spacing w:val="0"/>
          <w:w w:val="100"/>
          <w:sz w:val="32"/>
          <w:szCs w:val="32"/>
        </w:rPr>
        <w:t>〔</w:t>
      </w:r>
      <w:r>
        <w:rPr>
          <w:rFonts w:ascii="Times New Roman" w:eastAsia="Times New Roman"/>
          <w:color w:val="auto"/>
          <w:spacing w:val="0"/>
          <w:w w:val="100"/>
          <w:sz w:val="32"/>
          <w:szCs w:val="32"/>
        </w:rPr>
        <w:t>202</w:t>
      </w:r>
      <w:r>
        <w:rPr>
          <w:rFonts w:hint="eastAsia" w:ascii="Times New Roman" w:eastAsia="宋体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color w:val="auto"/>
          <w:spacing w:val="0"/>
          <w:w w:val="100"/>
          <w:sz w:val="32"/>
          <w:szCs w:val="32"/>
        </w:rPr>
        <w:t>〕</w:t>
      </w:r>
      <w:r>
        <w:rPr>
          <w:rFonts w:hint="eastAsia" w:ascii="Times New Roman" w:eastAsia="宋体"/>
          <w:color w:val="auto"/>
          <w:spacing w:val="0"/>
          <w:w w:val="100"/>
          <w:sz w:val="32"/>
          <w:szCs w:val="32"/>
          <w:lang w:val="en-US" w:eastAsia="zh-CN"/>
        </w:rPr>
        <w:t>11</w:t>
      </w:r>
      <w:r>
        <w:rPr>
          <w:color w:val="auto"/>
          <w:spacing w:val="0"/>
          <w:w w:val="100"/>
          <w:sz w:val="32"/>
          <w:szCs w:val="32"/>
        </w:rPr>
        <w:t>号）有关规定，制定本办法。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第二条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项目定义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成都市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龙泉驿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“揭榜挂帅”科</w:t>
      </w:r>
      <w:r>
        <w:rPr>
          <w:color w:val="auto"/>
          <w:spacing w:val="0"/>
          <w:w w:val="100"/>
          <w:sz w:val="32"/>
          <w:szCs w:val="32"/>
        </w:rPr>
        <w:t>技项目（以下简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称“揭榜挂帅”项</w:t>
      </w:r>
      <w:r>
        <w:rPr>
          <w:color w:val="auto"/>
          <w:spacing w:val="0"/>
          <w:w w:val="100"/>
          <w:sz w:val="32"/>
          <w:szCs w:val="32"/>
        </w:rPr>
        <w:t>目）是指聚焦落实国家和省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市</w:t>
      </w:r>
      <w:r>
        <w:rPr>
          <w:color w:val="auto"/>
          <w:spacing w:val="0"/>
          <w:w w:val="100"/>
          <w:sz w:val="32"/>
          <w:szCs w:val="32"/>
        </w:rPr>
        <w:t>重大科技战略任务，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sz w:val="32"/>
          <w:szCs w:val="32"/>
        </w:rPr>
        <w:t>围绕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sz w:val="32"/>
          <w:szCs w:val="32"/>
          <w:lang w:val="en-US" w:eastAsia="zh-CN"/>
        </w:rPr>
        <w:t>龙泉驿区</w:t>
      </w:r>
      <w:r>
        <w:rPr>
          <w:rFonts w:hint="eastAsia" w:cs="方正仿宋_GBK"/>
          <w:color w:val="auto"/>
          <w:spacing w:val="0"/>
          <w:w w:val="100"/>
          <w:kern w:val="2"/>
          <w:sz w:val="32"/>
          <w:szCs w:val="32"/>
          <w:lang w:val="en-US" w:eastAsia="zh-CN"/>
        </w:rPr>
        <w:t>重点产业建圈强链、城市治理能力提升、绿色低碳及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sz w:val="32"/>
          <w:szCs w:val="32"/>
        </w:rPr>
        <w:t>主导产业转型升级需求</w:t>
      </w:r>
      <w:r>
        <w:rPr>
          <w:rFonts w:hint="eastAsia" w:cs="方正仿宋_GBK"/>
          <w:color w:val="auto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rFonts w:hint="eastAsia" w:cs="方正仿宋_GBK"/>
          <w:color w:val="auto"/>
          <w:spacing w:val="0"/>
          <w:w w:val="100"/>
          <w:kern w:val="2"/>
          <w:sz w:val="32"/>
          <w:szCs w:val="32"/>
          <w:lang w:val="en-US" w:eastAsia="zh-CN"/>
        </w:rPr>
        <w:t>主要面向新能源、智能网联、氢能、汽车电子等领域，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开展关键核心技术攻关</w:t>
      </w:r>
      <w:r>
        <w:rPr>
          <w:color w:val="auto"/>
          <w:spacing w:val="0"/>
          <w:w w:val="100"/>
          <w:sz w:val="32"/>
          <w:szCs w:val="32"/>
        </w:rPr>
        <w:t>，以任务实施成效为衡量标准，以成果落地应用为牵引，由创新主体或创新联合体揭榜实施的需求明确、导向清晰、用户鲜明的重大科技项目。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根据任务来源，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“揭榜挂帅”项</w:t>
      </w:r>
      <w:r>
        <w:rPr>
          <w:color w:val="auto"/>
          <w:spacing w:val="0"/>
          <w:w w:val="100"/>
          <w:sz w:val="32"/>
          <w:szCs w:val="32"/>
        </w:rPr>
        <w:t>目分为政府出题类和企业出题类。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第三条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实施流程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</w:t>
      </w:r>
      <w:r>
        <w:rPr>
          <w:color w:val="auto"/>
          <w:spacing w:val="0"/>
          <w:w w:val="100"/>
          <w:sz w:val="32"/>
          <w:szCs w:val="32"/>
        </w:rPr>
        <w:t>项目的组织实施包括需求征集、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榜单编制</w:t>
      </w:r>
      <w:r>
        <w:rPr>
          <w:color w:val="auto"/>
          <w:spacing w:val="0"/>
          <w:w w:val="100"/>
          <w:sz w:val="32"/>
          <w:szCs w:val="32"/>
        </w:rPr>
        <w:t>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榜单发布</w:t>
      </w:r>
      <w:r>
        <w:rPr>
          <w:color w:val="auto"/>
          <w:spacing w:val="0"/>
          <w:w w:val="100"/>
          <w:sz w:val="32"/>
          <w:szCs w:val="32"/>
        </w:rPr>
        <w:t>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申报揭榜</w:t>
      </w:r>
      <w:r>
        <w:rPr>
          <w:color w:val="auto"/>
          <w:spacing w:val="0"/>
          <w:w w:val="100"/>
          <w:sz w:val="32"/>
          <w:szCs w:val="32"/>
        </w:rPr>
        <w:t>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评审遴选</w:t>
      </w:r>
      <w:r>
        <w:rPr>
          <w:color w:val="auto"/>
          <w:spacing w:val="0"/>
          <w:w w:val="100"/>
          <w:sz w:val="32"/>
          <w:szCs w:val="32"/>
        </w:rPr>
        <w:t>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揭榜公示</w:t>
      </w:r>
      <w:r>
        <w:rPr>
          <w:color w:val="auto"/>
          <w:spacing w:val="0"/>
          <w:w w:val="100"/>
          <w:sz w:val="32"/>
          <w:szCs w:val="32"/>
        </w:rPr>
        <w:t>、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签署“军令状”、</w:t>
      </w:r>
      <w:r>
        <w:rPr>
          <w:color w:val="auto"/>
          <w:spacing w:val="0"/>
          <w:w w:val="100"/>
          <w:sz w:val="32"/>
          <w:szCs w:val="32"/>
        </w:rPr>
        <w:t>实施管理和考核验收等流程。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第四条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榜单规范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榜单应包括项目名称、需求目标、考核指标、实施期限、榜单金额。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需求目标应聚焦出题任务方向、提出具体任务要求，考核指标应量化、成果化且能全面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支撑</w:t>
      </w:r>
      <w:r>
        <w:rPr>
          <w:color w:val="auto"/>
          <w:spacing w:val="0"/>
          <w:w w:val="100"/>
          <w:sz w:val="32"/>
          <w:szCs w:val="32"/>
        </w:rPr>
        <w:t>需求目标的实现，实施期限应不超过</w:t>
      </w:r>
      <w:r>
        <w:rPr>
          <w:rFonts w:ascii="Times New Roman" w:eastAsia="Times New Roman"/>
          <w:color w:val="auto"/>
          <w:spacing w:val="0"/>
          <w:w w:val="100"/>
          <w:sz w:val="32"/>
          <w:szCs w:val="32"/>
        </w:rPr>
        <w:t>2</w:t>
      </w:r>
      <w:r>
        <w:rPr>
          <w:color w:val="auto"/>
          <w:spacing w:val="0"/>
          <w:w w:val="100"/>
          <w:sz w:val="32"/>
          <w:szCs w:val="32"/>
        </w:rPr>
        <w:t>年，</w:t>
      </w:r>
      <w:r>
        <w:rPr>
          <w:rFonts w:hint="eastAsia"/>
          <w:color w:val="auto"/>
          <w:spacing w:val="0"/>
          <w:w w:val="100"/>
          <w:sz w:val="32"/>
          <w:szCs w:val="32"/>
        </w:rPr>
        <w:t>榜单金额为成功揭榜并通过考核验收后拨（支）付给揭榜方的资金额度</w:t>
      </w:r>
      <w:r>
        <w:rPr>
          <w:color w:val="auto"/>
          <w:spacing w:val="0"/>
          <w:w w:val="1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第五条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管理职责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成都市龙泉驿区新经济和</w:t>
      </w:r>
      <w:r>
        <w:rPr>
          <w:color w:val="auto"/>
          <w:spacing w:val="0"/>
          <w:w w:val="100"/>
          <w:sz w:val="32"/>
          <w:szCs w:val="32"/>
        </w:rPr>
        <w:t>科技局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以下简称“区新经济和科技局”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color w:val="auto"/>
          <w:spacing w:val="0"/>
          <w:w w:val="100"/>
          <w:sz w:val="32"/>
          <w:szCs w:val="32"/>
        </w:rPr>
        <w:t>负责组织开展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</w:t>
      </w:r>
      <w:r>
        <w:rPr>
          <w:color w:val="auto"/>
          <w:spacing w:val="0"/>
          <w:w w:val="100"/>
          <w:sz w:val="32"/>
          <w:szCs w:val="32"/>
        </w:rPr>
        <w:t>项目的需求征集、遴选发榜、立项实施和绩效管理等工作，提出预算安排建议方案。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成都市龙泉驿区</w:t>
      </w:r>
      <w:r>
        <w:rPr>
          <w:color w:val="auto"/>
          <w:spacing w:val="0"/>
          <w:w w:val="100"/>
          <w:sz w:val="32"/>
          <w:szCs w:val="32"/>
        </w:rPr>
        <w:t>财政局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以下简称“区财政局”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color w:val="auto"/>
          <w:spacing w:val="0"/>
          <w:w w:val="100"/>
          <w:sz w:val="32"/>
          <w:szCs w:val="32"/>
        </w:rPr>
        <w:t>负责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“揭榜挂帅”项</w:t>
      </w:r>
      <w:r>
        <w:rPr>
          <w:color w:val="auto"/>
          <w:spacing w:val="0"/>
          <w:w w:val="100"/>
          <w:sz w:val="32"/>
          <w:szCs w:val="32"/>
        </w:rPr>
        <w:t>目预算审核、绩效监督等工作。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“揭榜挂帅”项</w:t>
      </w:r>
      <w:r>
        <w:rPr>
          <w:color w:val="auto"/>
          <w:spacing w:val="0"/>
          <w:w w:val="100"/>
          <w:sz w:val="32"/>
          <w:szCs w:val="32"/>
        </w:rPr>
        <w:t>目相关管理工作可依照规定选择第三方机构实施或参与实施。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2028"/>
          <w:tab w:val="left" w:pos="4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0" w:firstLineChars="0"/>
        <w:jc w:val="center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第二章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项目分类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  <w:tab w:val="left" w:pos="452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第六条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政府出题类项目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（一）任务要求。应聚焦国家和省、市重大科技战略任务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sz w:val="32"/>
          <w:szCs w:val="32"/>
        </w:rPr>
        <w:t>围绕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sz w:val="32"/>
          <w:szCs w:val="32"/>
          <w:lang w:val="en-US" w:eastAsia="zh-CN"/>
        </w:rPr>
        <w:t>龙泉驿区绿色低碳及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kern w:val="2"/>
          <w:sz w:val="32"/>
          <w:szCs w:val="32"/>
        </w:rPr>
        <w:t>主导产业转型升级</w:t>
      </w:r>
      <w:r>
        <w:rPr>
          <w:color w:val="auto"/>
          <w:spacing w:val="0"/>
          <w:w w:val="100"/>
          <w:sz w:val="32"/>
          <w:szCs w:val="32"/>
        </w:rPr>
        <w:t>确定重大技术需求</w:t>
      </w:r>
      <w:r>
        <w:rPr>
          <w:rFonts w:hint="eastAsia" w:cs="方正仿宋_GBK"/>
          <w:color w:val="auto"/>
          <w:spacing w:val="0"/>
          <w:w w:val="100"/>
          <w:kern w:val="2"/>
          <w:sz w:val="32"/>
          <w:szCs w:val="32"/>
          <w:lang w:eastAsia="zh-CN"/>
        </w:rPr>
        <w:t>，</w:t>
      </w:r>
      <w:r>
        <w:rPr>
          <w:color w:val="auto"/>
          <w:spacing w:val="0"/>
          <w:w w:val="100"/>
          <w:sz w:val="32"/>
          <w:szCs w:val="32"/>
        </w:rPr>
        <w:t>突出攻关技术成果对产业建圈强链或城市治理的重大科技支撑。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根据技术成果的主要应用服务产业（行业）或率先落地推广地域，由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会同有关产业（行业）主管部门凝练技术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需求</w:t>
      </w:r>
      <w:r>
        <w:rPr>
          <w:color w:val="auto"/>
          <w:spacing w:val="0"/>
          <w:w w:val="100"/>
          <w:sz w:val="32"/>
          <w:szCs w:val="32"/>
        </w:rPr>
        <w:t>，明确完成任务的衡量标准、预期成果最终用户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vertAlign w:val="superscript"/>
          <w:lang w:val="en-US" w:eastAsia="zh-CN"/>
        </w:rPr>
        <w:t>1</w:t>
      </w:r>
      <w:r>
        <w:rPr>
          <w:color w:val="auto"/>
          <w:spacing w:val="0"/>
          <w:w w:val="100"/>
          <w:sz w:val="32"/>
          <w:szCs w:val="32"/>
        </w:rPr>
        <w:t>以及具体应用场景。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（二）揭榜方要求。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应为登</w:t>
      </w:r>
      <w:r>
        <w:rPr>
          <w:color w:val="auto"/>
          <w:spacing w:val="0"/>
          <w:w w:val="100"/>
          <w:sz w:val="32"/>
          <w:szCs w:val="32"/>
        </w:rPr>
        <w:t>记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注册</w:t>
      </w:r>
      <w:r>
        <w:rPr>
          <w:color w:val="auto"/>
          <w:spacing w:val="0"/>
          <w:w w:val="100"/>
          <w:sz w:val="32"/>
          <w:szCs w:val="32"/>
        </w:rPr>
        <w:t>在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龙泉驿区</w:t>
      </w:r>
      <w:r>
        <w:rPr>
          <w:color w:val="auto"/>
          <w:spacing w:val="0"/>
          <w:w w:val="100"/>
          <w:sz w:val="32"/>
          <w:szCs w:val="32"/>
        </w:rPr>
        <w:t>行政区域内且具有法人资格的高校、科研院所、企业、新型研发机构等，或由其牵头组建的创新联合体。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4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62" w:lineRule="exact"/>
        <w:ind w:leftChars="0" w:right="0" w:rightChars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shd w:val="clear" w:color="auto" w:fill="auto"/>
          <w:lang w:val="en-US" w:eastAsia="zh-CN"/>
        </w:rPr>
        <w:t>预期成果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shd w:val="clear" w:color="auto" w:fill="auto"/>
        </w:rPr>
        <w:t>最终用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户不能</w:t>
      </w:r>
      <w:r>
        <w:rPr>
          <w:color w:val="auto"/>
          <w:spacing w:val="0"/>
          <w:w w:val="100"/>
          <w:sz w:val="32"/>
          <w:szCs w:val="32"/>
        </w:rPr>
        <w:t>作为牵头揭榜方或参与揭榜方。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（三）支持方式。由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区</w:t>
      </w:r>
      <w:r>
        <w:rPr>
          <w:color w:val="auto"/>
          <w:spacing w:val="0"/>
          <w:w w:val="100"/>
          <w:sz w:val="32"/>
          <w:szCs w:val="32"/>
        </w:rPr>
        <w:t>级财政科技专项资金给予成功揭榜方项目资金支持，单个项目支持额度不超过</w:t>
      </w:r>
      <w:r>
        <w:rPr>
          <w:rFonts w:hint="eastAsia" w:ascii="Times New Roman" w:eastAsia="宋体"/>
          <w:color w:val="auto"/>
          <w:spacing w:val="0"/>
          <w:w w:val="100"/>
          <w:sz w:val="32"/>
          <w:szCs w:val="32"/>
          <w:lang w:val="en-US" w:eastAsia="zh-CN"/>
        </w:rPr>
        <w:t>100</w:t>
      </w:r>
      <w:r>
        <w:rPr>
          <w:color w:val="auto"/>
          <w:spacing w:val="0"/>
          <w:w w:val="100"/>
          <w:sz w:val="32"/>
          <w:szCs w:val="32"/>
        </w:rPr>
        <w:t>万元（含）。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第七条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企业出题类项目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2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（一）任务要求。应聚焦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龙泉驿区</w:t>
      </w:r>
      <w:r>
        <w:rPr>
          <w:color w:val="auto"/>
          <w:spacing w:val="0"/>
          <w:w w:val="100"/>
          <w:sz w:val="32"/>
          <w:szCs w:val="32"/>
        </w:rPr>
        <w:t>重点产业链主企业或行业龙头企业突破关键零部件、关键材料与工艺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瓶颈等方向关键核心技术攻关需求</w:t>
      </w:r>
      <w:r>
        <w:rPr>
          <w:color w:val="auto"/>
          <w:spacing w:val="0"/>
          <w:w w:val="100"/>
          <w:sz w:val="32"/>
          <w:szCs w:val="32"/>
        </w:rPr>
        <w:t>，突出攻关技术成果对提升企业核心竞争力的支撑。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leftChars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任务应由登记注册在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龙泉驿区</w:t>
      </w:r>
      <w:r>
        <w:rPr>
          <w:color w:val="auto"/>
          <w:spacing w:val="0"/>
          <w:w w:val="100"/>
          <w:sz w:val="32"/>
          <w:szCs w:val="32"/>
        </w:rPr>
        <w:t>行政区域内具有法人资格的企业提出，且企业应具备以下条件：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对关键核心技术、关键零部件、关键材料及工艺等有内在迫切需求，技术攻关成功后率先在本企业推广应用，能够显著提升企业核心竞争力，带动相关产业链企业创新发展。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具有保障项目实施的资金投入，申报年度的</w:t>
      </w:r>
      <w:r>
        <w:rPr>
          <w:rFonts w:hint="default" w:ascii="Times New Roman" w:hAnsi="Times New Roman" w:eastAsia="仿宋_GB2312" w:cs="Times New Roman"/>
          <w:color w:val="auto"/>
          <w:spacing w:val="0"/>
          <w:w w:val="100"/>
          <w:sz w:val="32"/>
          <w:szCs w:val="32"/>
        </w:rPr>
        <w:t>上年度研发投入不低于</w: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万元（含）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能够提供项目实施的配套条件。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具备良好的科研道德和社会诚信，近三年内无严重失信记录或重大违法行为。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bookmarkStart w:id="0" w:name="_bookmark0"/>
      <w:bookmarkEnd w:id="0"/>
      <w:r>
        <w:rPr>
          <w:color w:val="auto"/>
          <w:spacing w:val="0"/>
          <w:w w:val="100"/>
          <w:sz w:val="32"/>
          <w:szCs w:val="32"/>
        </w:rPr>
        <w:t>（二）揭榜方要求。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应为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内外具有法人资格的高校、科研院所、企业、新型研发机构等，或由其牵头组建的创新联合体。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需求企业或其股权关联方不能作为揭榜方或参与揭榜方。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  <w:lang w:val="en-US" w:eastAsia="zh-CN"/>
        </w:rPr>
        <w:t>3.科研诚信记录良好，未被列入联合惩戒名单或“黑名单”，近三年无不良信用记录或重大违法行为。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（三）支持方式。以需求企业投入为主，单个项目资金总额不得低于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200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万元（含），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区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级财政科技专项资金按不超过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企业投入该项目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资金总额的</w:t>
      </w:r>
      <w:r>
        <w:rPr>
          <w:rFonts w:hint="default" w:ascii="Times New Roman" w:hAnsi="Times New Roman" w:eastAsia="Times New Roman" w:cs="Times New Roman"/>
          <w:color w:val="auto"/>
          <w:spacing w:val="0"/>
          <w:w w:val="100"/>
          <w:sz w:val="32"/>
          <w:szCs w:val="32"/>
        </w:rPr>
        <w:t>20%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给予需求企业后补助，单个项目补助资金最高不超过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万</w:t>
      </w:r>
      <w:r>
        <w:rPr>
          <w:color w:val="auto"/>
          <w:spacing w:val="0"/>
          <w:w w:val="100"/>
          <w:sz w:val="32"/>
          <w:szCs w:val="32"/>
        </w:rPr>
        <w:t>元（含）。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28"/>
          <w:tab w:val="left" w:pos="43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Chars="0" w:right="0" w:rightChars="0"/>
        <w:jc w:val="center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第三章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揭榜与立项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028"/>
          <w:tab w:val="left" w:pos="43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Chars="0" w:right="0" w:rightChars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第八条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政府出题类项目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（一）需求征集。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rFonts w:hint="eastAsia" w:ascii="仿宋_GB2312" w:eastAsia="仿宋_GB2312"/>
          <w:color w:val="auto"/>
          <w:spacing w:val="0"/>
          <w:w w:val="100"/>
          <w:sz w:val="32"/>
          <w:szCs w:val="32"/>
        </w:rPr>
        <w:t>面</w:t>
      </w:r>
      <w:r>
        <w:rPr>
          <w:color w:val="auto"/>
          <w:spacing w:val="0"/>
          <w:w w:val="100"/>
          <w:sz w:val="32"/>
          <w:szCs w:val="32"/>
        </w:rPr>
        <w:t>向有关单位征集技术需求，由有关产业（行业）主管部门提出需求建议。需求建议应包括拟解决的主要技术问题、预期成果最终用户、具体应用场景、主要考核指标、时限要求。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（二）榜单编制。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组织行业管理专家、技术专家、需求单位、最终用户对征集到的技术需求进行充分论证，择优遴选出应用面广、指标明确、影响力大、带动性强的关键核心技术需求，并进一步凝练明确需求目标和应用场景，细化关键核心指标（技术参数），严格时限要求，准确测算所需资金，编制形成建议榜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对需求目标、关键核心指标（技术参数）、最终用户、具体应用场景等已明确的技术需求，可不经需求征集，由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组织需求单位、行业专家、技术专家和最终用户等直接论证凝练形成建议榜单。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（三）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榜单发布</w:t>
      </w:r>
      <w:r>
        <w:rPr>
          <w:color w:val="auto"/>
          <w:spacing w:val="0"/>
          <w:w w:val="100"/>
          <w:sz w:val="32"/>
          <w:szCs w:val="32"/>
        </w:rPr>
        <w:t>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根据专家遴选意见及建议榜单编制情况，按程序审定后，形成正式榜单向社会公开发布，招贤揭榜。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（四）申报揭榜。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项目全程实行线下申报</w:t>
      </w:r>
      <w:r>
        <w:rPr>
          <w:color w:val="auto"/>
          <w:spacing w:val="0"/>
          <w:w w:val="100"/>
          <w:sz w:val="32"/>
          <w:szCs w:val="32"/>
        </w:rPr>
        <w:t>，有意向的申报揭榜单位按照榜单要求、结合自身情况，采取单独或联合其他单位组成创新联合体的方式申报揭榜。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（五）评审遴选。根据申报揭榜情况，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牵头组织需求单位、行业专家、最终用户等，采取论证答辩、现场评估等方式，共同对揭榜方案可行性等开展充分论证评审，遴选出成功揭榜方建议名单。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（六）揭榜公示。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根据评审遴选结果，经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党组会</w:t>
      </w:r>
      <w:r>
        <w:rPr>
          <w:color w:val="auto"/>
          <w:spacing w:val="0"/>
          <w:w w:val="100"/>
          <w:sz w:val="32"/>
          <w:szCs w:val="32"/>
        </w:rPr>
        <w:t>审议通过，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经区财政局会签后，报分管区领导审定，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形成“揭榜挂帅”</w:t>
      </w:r>
      <w:r>
        <w:rPr>
          <w:color w:val="auto"/>
          <w:spacing w:val="0"/>
          <w:w w:val="100"/>
          <w:sz w:val="32"/>
          <w:szCs w:val="32"/>
        </w:rPr>
        <w:t>项目名单及资金安排方案，对外公示</w:t>
      </w:r>
      <w:r>
        <w:rPr>
          <w:rFonts w:ascii="Times New Roman" w:eastAsia="Times New Roman"/>
          <w:color w:val="auto"/>
          <w:spacing w:val="0"/>
          <w:w w:val="100"/>
          <w:sz w:val="32"/>
          <w:szCs w:val="32"/>
        </w:rPr>
        <w:t>5</w:t>
      </w:r>
      <w:r>
        <w:rPr>
          <w:color w:val="auto"/>
          <w:spacing w:val="0"/>
          <w:w w:val="100"/>
          <w:sz w:val="32"/>
          <w:szCs w:val="32"/>
        </w:rPr>
        <w:t>个工作日。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（七）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签署“军令状”</w:t>
      </w:r>
      <w:r>
        <w:rPr>
          <w:color w:val="auto"/>
          <w:spacing w:val="0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</w:t>
      </w:r>
      <w:r>
        <w:rPr>
          <w:color w:val="auto"/>
          <w:spacing w:val="0"/>
          <w:w w:val="100"/>
          <w:sz w:val="32"/>
          <w:szCs w:val="32"/>
        </w:rPr>
        <w:t>项目名单及资金安排方案公示无异议后，由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履行相关程序后，下达立项文件，并与揭榜方签订任务书。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任务书应结合</w:t>
      </w:r>
      <w:r>
        <w:rPr>
          <w:rFonts w:hint="eastAsia" w:cs="方正仿宋_GBK"/>
          <w:color w:val="auto"/>
          <w:spacing w:val="0"/>
          <w:w w:val="100"/>
          <w:sz w:val="32"/>
          <w:szCs w:val="32"/>
          <w:lang w:val="en-US" w:eastAsia="zh-CN"/>
        </w:rPr>
        <w:t>“里程碑”考核</w:t>
      </w:r>
      <w:r>
        <w:rPr>
          <w:color w:val="auto"/>
          <w:spacing w:val="0"/>
          <w:w w:val="100"/>
          <w:sz w:val="32"/>
          <w:szCs w:val="32"/>
        </w:rPr>
        <w:t>节点及考核指标，对考核方式及要求、资金拨付方式及条件、奖惩措施和成果归属等进行具体约定。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02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第九条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企业出题类项目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（一）需求征集。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面向重点产业链主企业或行业龙头企业征集技术需求，由企业提出需求建议。需求建议应包括需求背景、拟解决关键技术问题及技术指标、攻关成果应用形式与场景、时限要求、项目投入、对揭榜方要求、产权归属、利益分配等主要内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（二）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榜单编制</w:t>
      </w:r>
      <w:r>
        <w:rPr>
          <w:color w:val="auto"/>
          <w:spacing w:val="0"/>
          <w:w w:val="100"/>
          <w:sz w:val="32"/>
          <w:szCs w:val="32"/>
        </w:rPr>
        <w:t>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组织主管部门、行业协会（联盟）、行业管理专家、技术专家对征集的技术需求进行充分论证，遴选出企业自投资金高、影响力大、带动作用强、应用面广的关键核心技术需求，并指导需求企业进一步明确需求目标，细化关键核心指标（技术参数），严格时限要求，准确测算所需资金，编制形成建议榜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（三）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榜单发布</w:t>
      </w:r>
      <w:r>
        <w:rPr>
          <w:color w:val="auto"/>
          <w:spacing w:val="0"/>
          <w:w w:val="100"/>
          <w:sz w:val="32"/>
          <w:szCs w:val="32"/>
        </w:rPr>
        <w:t>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根据专家遴选意见及建议榜单编制情况，会同需求企业共同商定并按程序审定后，形成正式榜单向社会公开发布，招贤揭榜。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（四）对接揭榜。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组织需求企业、申报揭榜方开展线下对接洽谈，细化任务内容、预期成果指标、产权归属、项目资金测算等。由需求企业自主择优确定成功揭榜单位或揭榜创新联合体，经双方达成合作意向后签署揭榜协议。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（五）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项目</w:t>
      </w:r>
      <w:r>
        <w:rPr>
          <w:color w:val="auto"/>
          <w:spacing w:val="0"/>
          <w:w w:val="100"/>
          <w:sz w:val="32"/>
          <w:szCs w:val="32"/>
        </w:rPr>
        <w:t>备案。完成对接揭榜后，由需求企业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向区新经济和科技局提供</w:t>
      </w:r>
      <w:r>
        <w:rPr>
          <w:color w:val="auto"/>
          <w:spacing w:val="0"/>
          <w:w w:val="100"/>
          <w:sz w:val="32"/>
          <w:szCs w:val="32"/>
        </w:rPr>
        <w:t>确定的揭榜方案、揭榜协议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由区新经济和科技局进行备案</w:t>
      </w:r>
      <w:r>
        <w:rPr>
          <w:color w:val="auto"/>
          <w:spacing w:val="0"/>
          <w:w w:val="10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（六）揭榜公示。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根据系统备案情况，经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党组会</w:t>
      </w:r>
      <w:r>
        <w:rPr>
          <w:color w:val="auto"/>
          <w:spacing w:val="0"/>
          <w:w w:val="100"/>
          <w:sz w:val="32"/>
          <w:szCs w:val="32"/>
        </w:rPr>
        <w:t>审议通过，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经区财政局会签后，报分管区领导审定，</w:t>
      </w:r>
      <w:r>
        <w:rPr>
          <w:color w:val="auto"/>
          <w:spacing w:val="0"/>
          <w:w w:val="100"/>
          <w:sz w:val="32"/>
          <w:szCs w:val="32"/>
        </w:rPr>
        <w:t>形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成“揭榜挂帅”项</w:t>
      </w:r>
      <w:r>
        <w:rPr>
          <w:color w:val="auto"/>
          <w:spacing w:val="0"/>
          <w:w w:val="100"/>
          <w:sz w:val="32"/>
          <w:szCs w:val="32"/>
        </w:rPr>
        <w:t>目名单及资金安排方案，对外公示</w:t>
      </w:r>
      <w:r>
        <w:rPr>
          <w:rFonts w:ascii="Times New Roman" w:eastAsia="Times New Roman"/>
          <w:color w:val="auto"/>
          <w:spacing w:val="0"/>
          <w:w w:val="100"/>
          <w:sz w:val="32"/>
          <w:szCs w:val="32"/>
        </w:rPr>
        <w:t>5</w:t>
      </w:r>
      <w:r>
        <w:rPr>
          <w:color w:val="auto"/>
          <w:spacing w:val="0"/>
          <w:w w:val="100"/>
          <w:sz w:val="32"/>
          <w:szCs w:val="32"/>
        </w:rPr>
        <w:t>个工作日。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（七）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签署“军令状”</w:t>
      </w:r>
      <w:r>
        <w:rPr>
          <w:color w:val="auto"/>
          <w:spacing w:val="0"/>
          <w:w w:val="10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</w:t>
      </w:r>
      <w:r>
        <w:rPr>
          <w:color w:val="auto"/>
          <w:spacing w:val="0"/>
          <w:w w:val="100"/>
          <w:sz w:val="32"/>
          <w:szCs w:val="32"/>
        </w:rPr>
        <w:t>项目名单及资金安排方案公示无异议后，由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按程序批复下达项目立项通知，并组织需求企业、揭榜方签订任务书。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52"/>
          <w:tab w:val="left" w:pos="43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Chars="0" w:right="0" w:rightChars="0"/>
        <w:jc w:val="center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第四章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改革与管理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352"/>
          <w:tab w:val="left" w:pos="436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Chars="0" w:right="0" w:rightChars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简化揭榜条件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揭榜任务对揭榜单位无注册时间要求，对项目负责人和团队无年龄、学历和职称要求。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一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突出挂帅攻关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赋予揭榜方攻关方案制定、技术路线确定、攻关团队组建、经费支出管理等自主权。项目立项后，不得更换揭榜方，项目负责人在揭榜攻关期间不得随意离职或更换。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二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  <w:t xml:space="preserve">条 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  <w:t>经费实行“包干+负面清单”制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eastAsia="方正仿宋_GBK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/>
          <w:color w:val="auto"/>
          <w:spacing w:val="0"/>
          <w:w w:val="100"/>
          <w:sz w:val="32"/>
          <w:szCs w:val="32"/>
        </w:rPr>
        <w:t>申报揭榜时不填预算申报书，评榜时取消预算评审。任务书签订后，财政科技经费参照《成都市龙泉驿区科研项目经费“包干+负面清单”制暂行办法》使用和管理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三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hAnsi="方正黑体_GBK" w:eastAsia="方正黑体_GBK"/>
          <w:color w:val="auto"/>
          <w:spacing w:val="0"/>
          <w:w w:val="100"/>
          <w:sz w:val="32"/>
          <w:szCs w:val="32"/>
        </w:rPr>
        <w:t>实行“里程碑”管理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根据项目实施计划设置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“里程碑”</w:t>
      </w:r>
      <w:r>
        <w:rPr>
          <w:color w:val="auto"/>
          <w:spacing w:val="0"/>
          <w:w w:val="100"/>
          <w:sz w:val="32"/>
          <w:szCs w:val="32"/>
        </w:rPr>
        <w:t>节点，每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个“里程碑”</w:t>
      </w:r>
      <w:r>
        <w:rPr>
          <w:color w:val="auto"/>
          <w:spacing w:val="0"/>
          <w:w w:val="100"/>
          <w:sz w:val="32"/>
          <w:szCs w:val="32"/>
        </w:rPr>
        <w:t>节点应包括阶段攻关任务、完成时间节点、对应指标及考核方式。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委托第三方机构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vertAlign w:val="superscript"/>
          <w:lang w:val="en-US" w:eastAsia="zh-CN"/>
        </w:rPr>
        <w:t>2</w:t>
      </w:r>
      <w:r>
        <w:rPr>
          <w:color w:val="auto"/>
          <w:spacing w:val="0"/>
          <w:w w:val="100"/>
          <w:sz w:val="32"/>
          <w:szCs w:val="32"/>
        </w:rPr>
        <w:t>根据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“里程碑”</w:t>
      </w:r>
      <w:r>
        <w:rPr>
          <w:color w:val="auto"/>
          <w:spacing w:val="0"/>
          <w:w w:val="100"/>
          <w:sz w:val="32"/>
          <w:szCs w:val="32"/>
        </w:rPr>
        <w:t>节点做好跟踪服务，及时协调解决问题。对实施不力的，进行督促整改；确因无法继续实施的，任务书签署方均可提出终止实施建议，并按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《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成都市龙泉驿区新经济和科技计划项目与资金管理办法的通知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》</w:t>
      </w:r>
      <w:r>
        <w:rPr>
          <w:color w:val="auto"/>
          <w:spacing w:val="0"/>
          <w:w w:val="100"/>
          <w:sz w:val="32"/>
          <w:szCs w:val="32"/>
        </w:rPr>
        <w:t>和有关规程办理终止实施手续。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四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强化绩效评价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项目完成后，由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会同有关产业（行业）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right="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主管部门组织专家、最终用户对照任务书约定内容，在真实应用场景下综合运用实地勘察、应用环境验证、第三方测评等方式开展考核验收。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五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改革经费拨付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政府出题类项目财政资金分三次拨付，任务签订当年给予揭榜金额</w:t>
      </w:r>
      <w:r>
        <w:rPr>
          <w:rFonts w:ascii="Times New Roman" w:hAnsi="Times New Roman" w:eastAsia="Times New Roman"/>
          <w:color w:val="auto"/>
          <w:spacing w:val="0"/>
          <w:w w:val="100"/>
          <w:sz w:val="32"/>
          <w:szCs w:val="32"/>
        </w:rPr>
        <w:t>40%</w:t>
      </w:r>
      <w:r>
        <w:rPr>
          <w:color w:val="auto"/>
          <w:spacing w:val="0"/>
          <w:w w:val="100"/>
          <w:sz w:val="32"/>
          <w:szCs w:val="32"/>
        </w:rPr>
        <w:t>，关键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“里程碑”</w:t>
      </w:r>
      <w:r>
        <w:rPr>
          <w:color w:val="auto"/>
          <w:spacing w:val="0"/>
          <w:w w:val="100"/>
          <w:sz w:val="32"/>
          <w:szCs w:val="32"/>
        </w:rPr>
        <w:t>节点考核通过后给予揭榜金额</w:t>
      </w:r>
      <w:r>
        <w:rPr>
          <w:rFonts w:ascii="Times New Roman" w:hAnsi="Times New Roman" w:eastAsia="Times New Roman"/>
          <w:color w:val="auto"/>
          <w:spacing w:val="0"/>
          <w:w w:val="100"/>
          <w:sz w:val="32"/>
          <w:szCs w:val="32"/>
        </w:rPr>
        <w:t>30%</w:t>
      </w:r>
      <w:r>
        <w:rPr>
          <w:color w:val="auto"/>
          <w:spacing w:val="0"/>
          <w:w w:val="100"/>
          <w:sz w:val="32"/>
          <w:szCs w:val="32"/>
        </w:rPr>
        <w:t>，任务执行到期经考核验收通过后最后给予揭榜金额</w:t>
      </w:r>
      <w:r>
        <w:rPr>
          <w:rFonts w:ascii="Times New Roman" w:hAnsi="Times New Roman" w:eastAsia="Times New Roman"/>
          <w:color w:val="auto"/>
          <w:spacing w:val="0"/>
          <w:w w:val="100"/>
          <w:sz w:val="32"/>
          <w:szCs w:val="32"/>
        </w:rPr>
        <w:t>30%</w:t>
      </w:r>
      <w:r>
        <w:rPr>
          <w:color w:val="auto"/>
          <w:spacing w:val="0"/>
          <w:w w:val="100"/>
          <w:sz w:val="32"/>
          <w:szCs w:val="32"/>
        </w:rPr>
        <w:t>。企业出题类项目验收通过后，凭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经审计的</w:t>
      </w:r>
      <w:r>
        <w:rPr>
          <w:color w:val="auto"/>
          <w:spacing w:val="0"/>
          <w:w w:val="100"/>
          <w:sz w:val="32"/>
          <w:szCs w:val="32"/>
        </w:rPr>
        <w:t>拨付揭榜方资金凭证，一次性给予需求企业财政资金后补助。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六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强化诚信管理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需求单位、揭榜方应本着实事求是的精神，严格遵循科研诚信、科学伦理等有关规定，坚决杜绝弄虚作假、串通控榜等不良行为发生。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对弄虚作假或故意串通等影响</w:t>
      </w:r>
      <w:r>
        <w:rPr>
          <w:rFonts w:hint="eastAsia" w:ascii="方正仿宋_GBK" w:hAnsi="方正仿宋_GBK" w:eastAsia="方正仿宋_GBK" w:cs="方正仿宋_GBK"/>
          <w:color w:val="auto"/>
          <w:spacing w:val="0"/>
          <w:w w:val="100"/>
          <w:sz w:val="32"/>
          <w:szCs w:val="32"/>
        </w:rPr>
        <w:t>“揭榜挂帅”正常</w:t>
      </w:r>
      <w:r>
        <w:rPr>
          <w:color w:val="auto"/>
          <w:spacing w:val="0"/>
          <w:w w:val="100"/>
          <w:sz w:val="32"/>
          <w:szCs w:val="32"/>
        </w:rPr>
        <w:t>执行的行为，一经查实，</w:t>
      </w:r>
      <w:r>
        <w:rPr>
          <w:rFonts w:hint="eastAsia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color w:val="auto"/>
          <w:spacing w:val="0"/>
          <w:w w:val="100"/>
          <w:sz w:val="32"/>
          <w:szCs w:val="32"/>
        </w:rPr>
        <w:t>将会同相关部门按照有关规定给予严肃处理，并依规列入失信行为记录或进行失信行为惩戒；涉嫌违法的，移送司法机关处理。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47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七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明确成果权属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利用财政科技资金在项目实施中形成的科技成果，在不损害国家安全、国家利益和重大社会公共利益的前提下，授权项目承担者依法取得相关知识产权。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揭榜方和参与揭榜方应事先签署正式协议，约定成果和知识产权的权益分配。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eastAsia"/>
          <w:color w:val="auto"/>
          <w:spacing w:val="0"/>
          <w:w w:val="100"/>
          <w:sz w:val="32"/>
          <w:szCs w:val="32"/>
        </w:rPr>
        <w:t>企业出题类项目实施中所产生的科技成果及相关知识产权，由需求企业与揭榜方在揭榜协议中对其归属、使用及利益分配予以明确约定。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0" w:firstLineChars="0"/>
        <w:jc w:val="center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0" w:firstLineChars="0"/>
        <w:jc w:val="center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 xml:space="preserve">第五章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附则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八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未尽事项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本办法未尽事项，按照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龙泉驿区</w:t>
      </w:r>
      <w:r>
        <w:rPr>
          <w:color w:val="auto"/>
          <w:spacing w:val="0"/>
          <w:w w:val="100"/>
          <w:sz w:val="32"/>
          <w:szCs w:val="32"/>
        </w:rPr>
        <w:t>科技计划项目、资金、诚信管理有关规定执行。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35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十九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解读机构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color w:val="auto"/>
          <w:spacing w:val="0"/>
          <w:w w:val="100"/>
          <w:sz w:val="32"/>
          <w:szCs w:val="32"/>
        </w:rPr>
        <w:t>本办法由</w:t>
      </w:r>
      <w:r>
        <w:rPr>
          <w:rFonts w:hint="eastAsia"/>
          <w:color w:val="auto"/>
          <w:spacing w:val="0"/>
          <w:w w:val="100"/>
          <w:sz w:val="32"/>
          <w:szCs w:val="32"/>
          <w:lang w:val="en-US" w:eastAsia="zh-CN"/>
        </w:rPr>
        <w:t>成都市龙泉驿区新经济和科技局</w:t>
      </w:r>
      <w:r>
        <w:rPr>
          <w:color w:val="auto"/>
          <w:spacing w:val="0"/>
          <w:w w:val="100"/>
          <w:sz w:val="32"/>
          <w:szCs w:val="32"/>
        </w:rPr>
        <w:t>负责解释。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2671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</w:pP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第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>二十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条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方正黑体_GBK" w:eastAsia="方正黑体_GBK"/>
          <w:color w:val="auto"/>
          <w:spacing w:val="0"/>
          <w:w w:val="100"/>
          <w:sz w:val="32"/>
          <w:szCs w:val="32"/>
        </w:rPr>
        <w:t>施行日期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left="0" w:right="0" w:firstLine="640" w:firstLineChars="200"/>
        <w:jc w:val="both"/>
        <w:textAlignment w:val="auto"/>
        <w:rPr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本办法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自2023年X月X日</w:t>
      </w:r>
      <w:r>
        <w:rPr>
          <w:rFonts w:hint="default" w:ascii="Times New Roman" w:hAnsi="Times New Roman" w:eastAsia="方正仿宋_GBK" w:cs="Times New Roman"/>
          <w:color w:val="auto"/>
          <w:spacing w:val="0"/>
          <w:w w:val="100"/>
          <w:sz w:val="32"/>
          <w:szCs w:val="32"/>
        </w:rPr>
        <w:t>起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eastAsia="zh-CN"/>
        </w:rPr>
        <w:t>施行</w:t>
      </w:r>
      <w:r>
        <w:rPr>
          <w:color w:val="auto"/>
          <w:spacing w:val="0"/>
          <w:w w:val="100"/>
          <w:sz w:val="32"/>
          <w:szCs w:val="32"/>
        </w:rPr>
        <w:t>，有效期</w:t>
      </w:r>
      <w:r>
        <w:rPr>
          <w:rFonts w:ascii="Times New Roman" w:eastAsia="Times New Roman"/>
          <w:color w:val="auto"/>
          <w:spacing w:val="0"/>
          <w:w w:val="100"/>
          <w:sz w:val="32"/>
          <w:szCs w:val="32"/>
        </w:rPr>
        <w:t>2</w:t>
      </w:r>
      <w:r>
        <w:rPr>
          <w:color w:val="auto"/>
          <w:spacing w:val="0"/>
          <w:w w:val="100"/>
          <w:sz w:val="32"/>
          <w:szCs w:val="32"/>
        </w:rPr>
        <w:t>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9" w:lineRule="exact"/>
        <w:textAlignment w:val="auto"/>
        <w:outlineLvl w:val="9"/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5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579" w:lineRule="exact"/>
        <w:ind w:leftChars="0" w:right="0" w:rightChars="0" w:firstLine="0" w:firstLineChars="0"/>
        <w:jc w:val="both"/>
        <w:textAlignment w:val="auto"/>
        <w:outlineLvl w:val="9"/>
        <w:rPr>
          <w:color w:val="auto"/>
          <w:spacing w:val="0"/>
          <w:w w:val="100"/>
          <w:sz w:val="21"/>
          <w:szCs w:val="21"/>
        </w:rPr>
      </w:pPr>
      <w:r>
        <w:rPr>
          <w:color w:val="auto"/>
          <w:spacing w:val="0"/>
          <w:w w:val="100"/>
          <w:sz w:val="21"/>
          <w:szCs w:val="21"/>
        </w:rPr>
        <mc:AlternateContent>
          <mc:Choice Requires="wps">
            <w:drawing>
              <wp:inline distT="0" distB="0" distL="114300" distR="114300">
                <wp:extent cx="1828800" cy="0"/>
                <wp:effectExtent l="0" t="0" r="0" b="0"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line id="_x0000_s1026" o:spid="_x0000_s1026" o:spt="20" style="height:0pt;width:144pt;" filled="f" stroked="t" coordsize="21600,21600" o:gfxdata="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6KtttAAAAACAQAADwAAAAAAAAABACAAAAAiAAAA&#10;ZHJzL2Rvd25yZXYueG1sUEsBAhQAFAAAAAgAh07iQANOaY7WAQAAkwMAAA4AAAAAAAAAAQAgAAAA&#10;HwEAAGRycy9lMm9Eb2MueG1sUEsFBgAAAAAGAAYAWQEAAGcFAAAAAA==&#10;">
                <v:fill on="f" focussize="0,0"/>
                <v:stroke weight="0pt" color="#000000" joinstyle="round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[1]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指项目预期成果的最终使用者，承接项目攻关科技成果在</w:t>
      </w: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区内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落地和应用，并参与项目的考核验收。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9" w:lineRule="exact"/>
        <w:ind w:right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</w:pPr>
      <w:r>
        <w:rPr>
          <w:rFonts w:hint="eastAsia" w:ascii="Times New Roman" w:hAnsi="Times New Roman" w:cs="Times New Roman"/>
          <w:color w:val="auto"/>
          <w:spacing w:val="0"/>
          <w:w w:val="100"/>
          <w:sz w:val="32"/>
          <w:szCs w:val="32"/>
          <w:lang w:val="en-US" w:eastAsia="zh-CN"/>
        </w:rPr>
        <w:t>[2]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受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  <w:lang w:eastAsia="zh-CN"/>
        </w:rPr>
        <w:t>区新经济和科技局</w:t>
      </w:r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委</w:t>
      </w:r>
      <w:bookmarkStart w:id="1" w:name="_GoBack"/>
      <w:bookmarkEnd w:id="1"/>
      <w:r>
        <w:rPr>
          <w:rFonts w:hint="default" w:ascii="Times New Roman" w:hAnsi="Times New Roman" w:cs="Times New Roman"/>
          <w:color w:val="auto"/>
          <w:spacing w:val="0"/>
          <w:w w:val="100"/>
          <w:sz w:val="32"/>
          <w:szCs w:val="32"/>
        </w:rPr>
        <w:t>托，承担项目管理和服务职责的第三方科技服务机构。</w:t>
      </w:r>
    </w:p>
    <w:p/>
    <w:sectPr>
      <w:footerReference r:id="rId3" w:type="default"/>
      <w:footerReference r:id="rId4" w:type="even"/>
      <w:pgSz w:w="11910" w:h="16840"/>
      <w:pgMar w:top="2098" w:right="1474" w:bottom="1984" w:left="1587" w:header="0" w:footer="1417" w:gutter="0"/>
      <w:pgNumType w:fmt="decimal"/>
      <w:cols w:equalWidth="0" w:num="1">
        <w:col w:w="923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4882515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4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qxWdk0wAAAAkB&#10;AAAPAAAAAAAAAAEAIAAAACIAAABkcnMvZG93bnJldi54bWxQSwECFAAUAAAACACHTuJA4cw9va4B&#10;AABLAwAADgAAAAAAAAABACAAAAAi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85725</wp:posOffset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.75pt;margin-top:-18.7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LUqsjVAAAA&#10;CgEAAA8AAAAAAAAAAQAgAAAAIgAAAGRycy9kb3ducmV2LnhtbFBLAQIUABQAAAAIAIdO4kARqoqK&#10;rgEAAEsDAAAOAAAAAAAAAAEAIAAAACQ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6913"/>
    <w:rsid w:val="0F995542"/>
    <w:rsid w:val="18D574D6"/>
    <w:rsid w:val="1E3B4D79"/>
    <w:rsid w:val="32392A5B"/>
    <w:rsid w:val="511C437B"/>
    <w:rsid w:val="51962351"/>
    <w:rsid w:val="53856AD6"/>
    <w:rsid w:val="53B84F0E"/>
    <w:rsid w:val="58E9382F"/>
    <w:rsid w:val="5D462931"/>
    <w:rsid w:val="690C6913"/>
    <w:rsid w:val="70B2788A"/>
    <w:rsid w:val="76F17649"/>
    <w:rsid w:val="77352366"/>
    <w:rsid w:val="7E9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方正仿宋_GBK" w:hAnsi="方正仿宋_GBK" w:eastAsia="方正仿宋_GBK" w:cs="方正仿宋_GBK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1"/>
    <w:pPr>
      <w:spacing w:before="63"/>
      <w:ind w:left="108" w:right="273" w:firstLine="639"/>
    </w:pPr>
    <w:rPr>
      <w:rFonts w:ascii="方正仿宋_GBK" w:hAnsi="方正仿宋_GBK" w:eastAsia="方正仿宋_GBK" w:cs="方正仿宋_GB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2022-12-21T08:48:00Z</dcterms:created>
  <dc:creator>何俊宏</dc:creator>
  <cp:lastModifiedBy>phwt</cp:lastModifiedBy>
  <dcterms:modified xsi:type="dcterms:W3CDTF">2023-01-12T01:23:50Z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